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A8" w:rsidRDefault="002D4AA8" w:rsidP="00537D1D">
      <w:pPr>
        <w:pStyle w:val="2"/>
        <w:shd w:val="clear" w:color="auto" w:fill="auto"/>
        <w:spacing w:after="0" w:line="240" w:lineRule="auto"/>
        <w:ind w:right="20" w:firstLine="0"/>
        <w:rPr>
          <w:rStyle w:val="CharStyle4"/>
        </w:rPr>
      </w:pPr>
    </w:p>
    <w:p w:rsidR="00A05E54" w:rsidRDefault="00A05E54" w:rsidP="00A05E54">
      <w:pPr>
        <w:pStyle w:val="2"/>
        <w:tabs>
          <w:tab w:val="left" w:leader="underscore" w:pos="5320"/>
          <w:tab w:val="left" w:leader="underscore" w:pos="5944"/>
        </w:tabs>
        <w:ind w:firstLine="640"/>
        <w:jc w:val="both"/>
        <w:rPr>
          <w:rStyle w:val="CharStyle4"/>
          <w:b/>
          <w:sz w:val="22"/>
          <w:szCs w:val="22"/>
        </w:rPr>
      </w:pPr>
    </w:p>
    <w:p w:rsidR="00A05E54" w:rsidRPr="00A05E54" w:rsidRDefault="00A05E54" w:rsidP="001B0C0B">
      <w:pPr>
        <w:pStyle w:val="2"/>
        <w:tabs>
          <w:tab w:val="left" w:leader="underscore" w:pos="5320"/>
          <w:tab w:val="left" w:leader="underscore" w:pos="5944"/>
        </w:tabs>
        <w:spacing w:line="240" w:lineRule="auto"/>
        <w:ind w:firstLine="641"/>
        <w:rPr>
          <w:rStyle w:val="CharStyle4"/>
          <w:b/>
          <w:sz w:val="28"/>
          <w:szCs w:val="28"/>
        </w:rPr>
      </w:pPr>
      <w:r w:rsidRPr="00A05E54">
        <w:rPr>
          <w:rStyle w:val="CharStyle4"/>
          <w:b/>
          <w:sz w:val="28"/>
          <w:szCs w:val="28"/>
        </w:rPr>
        <w:t>ПЕРЕЧЕНЬ МЕРОПРИЯТИЙ для ПОТРЕБИТЕЛЕЙ тепловой энергии</w:t>
      </w:r>
    </w:p>
    <w:p w:rsidR="00A05E54" w:rsidRDefault="00A05E54" w:rsidP="00A05E54">
      <w:pPr>
        <w:pStyle w:val="2"/>
        <w:tabs>
          <w:tab w:val="left" w:leader="underscore" w:pos="5320"/>
          <w:tab w:val="left" w:leader="underscore" w:pos="5944"/>
        </w:tabs>
        <w:ind w:firstLine="640"/>
        <w:rPr>
          <w:rStyle w:val="CharStyle4"/>
          <w:b/>
          <w:sz w:val="28"/>
          <w:szCs w:val="28"/>
        </w:rPr>
      </w:pPr>
      <w:r w:rsidRPr="00A05E54">
        <w:rPr>
          <w:rStyle w:val="CharStyle4"/>
          <w:b/>
          <w:sz w:val="28"/>
          <w:szCs w:val="28"/>
        </w:rPr>
        <w:t>При подготовке тепловых пунктов и систем теплопотребления к отопительному периоду 202</w:t>
      </w:r>
      <w:r w:rsidR="001B0C0B">
        <w:rPr>
          <w:rStyle w:val="CharStyle4"/>
          <w:b/>
          <w:sz w:val="28"/>
          <w:szCs w:val="28"/>
        </w:rPr>
        <w:t>6</w:t>
      </w:r>
      <w:r w:rsidRPr="00A05E54">
        <w:rPr>
          <w:rStyle w:val="CharStyle4"/>
          <w:b/>
          <w:sz w:val="28"/>
          <w:szCs w:val="28"/>
        </w:rPr>
        <w:t>-202</w:t>
      </w:r>
      <w:r w:rsidR="001B0C0B">
        <w:rPr>
          <w:rStyle w:val="CharStyle4"/>
          <w:b/>
          <w:sz w:val="28"/>
          <w:szCs w:val="28"/>
        </w:rPr>
        <w:t>7</w:t>
      </w:r>
      <w:r w:rsidRPr="00A05E54">
        <w:rPr>
          <w:rStyle w:val="CharStyle4"/>
          <w:b/>
          <w:sz w:val="28"/>
          <w:szCs w:val="28"/>
        </w:rPr>
        <w:t xml:space="preserve"> </w:t>
      </w:r>
      <w:proofErr w:type="spellStart"/>
      <w:proofErr w:type="gramStart"/>
      <w:r w:rsidRPr="00A05E54">
        <w:rPr>
          <w:rStyle w:val="CharStyle4"/>
          <w:b/>
          <w:sz w:val="28"/>
          <w:szCs w:val="28"/>
        </w:rPr>
        <w:t>гг</w:t>
      </w:r>
      <w:proofErr w:type="spellEnd"/>
      <w:proofErr w:type="gramEnd"/>
    </w:p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8980"/>
      </w:tblGrid>
      <w:tr w:rsidR="001B0C0B" w:rsidRPr="001B0C0B" w:rsidTr="001B0C0B">
        <w:trPr>
          <w:trHeight w:val="169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В соответствии с требованиями Правил технической эксплуатации объектов теплоснабжения и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теплопотребляющих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установок (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ПТЭОТиТУ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)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,у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тв. Приказом Минэнерго России № 511 от 14.05.2025 г., </w:t>
            </w:r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Правил обеспечения готовности к отопительному периоду, утв. Приказом Минэнерго РФ от 13.11.2024 г. № 2234 (Приказ № 2234),</w:t>
            </w: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Правил коммерческого учета тепловой энергии, теплоносителя, утв. ПП РФ № 1034 от 18.11.2013 г., Федерального закона № 190-ФЗ от 27.07.2010 г. "О теплоснабжении" при подготовке к отопительному периоду 2026 - 2027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г.г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. для обеспечения бесперебойного и надежного теплоснабжения Вам необходимо в срок </w:t>
            </w:r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до 01 сентября 2026 года выполнить следующие виды работ на объектах, находящихся на обслуживании Вашей организации:</w:t>
            </w:r>
          </w:p>
        </w:tc>
      </w:tr>
      <w:tr w:rsidR="001B0C0B" w:rsidRPr="001B0C0B" w:rsidTr="001B0C0B">
        <w:trPr>
          <w:trHeight w:val="960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1.  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Разработать  и представить в ООО "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" не позднее 30.04.2026 г. (п.3.3.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Приказа № 2234) план  подготовки к отопительному периоду, который должен содержать организационные и технические мероприятия с указанием сроков их выполнения (п.4 Приказа № 2234), в том числе работы по профилактике и ремонту тепловых сетей, тепловых пунктов, систем отопления, горячего водоснабжения.</w:t>
            </w:r>
            <w:proofErr w:type="gramEnd"/>
          </w:p>
        </w:tc>
      </w:tr>
      <w:tr w:rsidR="001B0C0B" w:rsidRPr="001B0C0B" w:rsidTr="001B0C0B">
        <w:trPr>
          <w:trHeight w:val="960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2.  Назначить лицо, ответственное за исправное состояние и безопасную эксплуатацию тепловых энергоустановок.</w:t>
            </w: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br/>
              <w:t>Провести подготовку теплотехнического персонала и проверку его знаний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.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Копию приказа  о назначении  и протокола проверки знаний представить в ООО "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".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3. Обеспечить наличие паспортов тепловых энергоустановок, принципиальных схем, инструкций для обслуживающего персонала и соответствие их действительности </w:t>
            </w:r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(п.11.5.8 Приказа № 2234).</w:t>
            </w:r>
          </w:p>
        </w:tc>
      </w:tr>
      <w:tr w:rsidR="001B0C0B" w:rsidRPr="001B0C0B" w:rsidTr="001B0C0B">
        <w:trPr>
          <w:trHeight w:val="720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4.  Выполнить </w:t>
            </w:r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в присутствии представителя ООО "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"</w:t>
            </w: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испытания на прочность и плотность тепловых сетей, теплового пункта, систем теплопотребления,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водоподогревательных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установок </w:t>
            </w:r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(п.11.5.5 Приказа № 2234).</w:t>
            </w:r>
          </w:p>
        </w:tc>
      </w:tr>
      <w:tr w:rsidR="001B0C0B" w:rsidRPr="001B0C0B" w:rsidTr="001B0C0B">
        <w:trPr>
          <w:trHeight w:val="750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Испытания на прочность и плотность внутренних систем теплопотребления проводить пробным давлением, но не ниже:</w:t>
            </w: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br/>
            </w: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br/>
              <w:t xml:space="preserve">    - элеваторные узлы,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водоподогреватели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систем отопления, горячего водоснабжения -1 МПа (10 кгс/см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vertAlign w:val="superscript"/>
                <w:lang w:bidi="ar-SA"/>
              </w:rPr>
              <w:t>2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);</w:t>
            </w:r>
          </w:p>
        </w:tc>
      </w:tr>
      <w:tr w:rsidR="001B0C0B" w:rsidRPr="001B0C0B" w:rsidTr="001B0C0B">
        <w:trPr>
          <w:trHeight w:val="75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- системы отопления с чугунными отопительными приборами, стальными штампованными радиаторами - 0,6 МПа (6 кгс/см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vertAlign w:val="superscript"/>
                <w:lang w:bidi="ar-SA"/>
              </w:rPr>
              <w:t>2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).</w:t>
            </w: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br/>
            </w: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br/>
              <w:t xml:space="preserve">    Результаты проверки оформляются актом проведения испытаний на прочность и плотность.</w:t>
            </w:r>
          </w:p>
        </w:tc>
      </w:tr>
      <w:tr w:rsidR="001B0C0B" w:rsidRPr="001B0C0B" w:rsidTr="001B0C0B">
        <w:trPr>
          <w:trHeight w:val="72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5. Выполнить промывку систем отопления гидропневматическим способом до осветления воды </w:t>
            </w:r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(п.11.5.5 Приказа № 2234)</w:t>
            </w: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. Промывка систем проводится ежегодно после окончания отопительного периода, а также после монтажа, капитального ремонта, текущего ремонта с заменой труб.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6. Произвести вскрытие и очистку грязевиков, фильтров.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7. Проверить исправность запорной и регулирующей арматуры. Установить недостающую и выполнить ревизию, ремонт или замену установленной запорной и регулирующей  арматуры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.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</w:t>
            </w:r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(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п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. 11.5.3 Приказа № 2234)</w:t>
            </w:r>
          </w:p>
        </w:tc>
      </w:tr>
      <w:tr w:rsidR="001B0C0B" w:rsidRPr="001B0C0B" w:rsidTr="001B0C0B">
        <w:trPr>
          <w:trHeight w:val="72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8. Оборудовать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водоподогреватели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систем горячего водоснабжения автоматическим регулятором температуры воды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.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</w:t>
            </w:r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(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п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.11.5.2, 11.5.10 Приказа № 2234).</w:t>
            </w: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Установить недостающие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спускники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и воздушники для проверки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водоподогревателей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на плотность.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9. Тепловые пункты укомплектовать необходимыми исправными и поверенными  контрольно-измерительными приборами (манометры, термометры) </w:t>
            </w:r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(п.11.5.15 Приказа № 2234).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10. Проверить исправное состояние и работу автоматики регулирования и циркуляционных насосов. При необходимости провести ее ремонт, настройку и регулировку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.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</w:t>
            </w:r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(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п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-SA"/>
              </w:rPr>
              <w:t>.11.5.10 Приказа № 2234).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11. По истечении срока поверки приборов, входящих в состав узла учета тепловой энергии, провести их поверку до начала отопительного сезона.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12. Восстановить тепловую изоляцию на тепловом оборудовании тепловых узлов, разводящих трубопроводов отопления и горячего водоснабжения </w:t>
            </w:r>
          </w:p>
        </w:tc>
      </w:tr>
      <w:tr w:rsidR="001B0C0B" w:rsidRPr="001B0C0B" w:rsidTr="001B0C0B">
        <w:trPr>
          <w:trHeight w:val="72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13. Выполнить мероприятия по утеплению зданий (чердачных, подвальных помещений, лестничных клеток, оконных и дверных проемов и т.д.) и индивидуальных тепловых пунктов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.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Убедиться в исправности и наличии стационарного и переносного освещения.</w:t>
            </w:r>
          </w:p>
        </w:tc>
      </w:tr>
      <w:tr w:rsidR="001B0C0B" w:rsidRPr="001B0C0B" w:rsidTr="001B0C0B">
        <w:trPr>
          <w:trHeight w:val="72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14. Обеспечить наличие на вводах трубопроводах тепловых сетей в здания устройств, предотвращающих проникновение сетевой воды или газов из канала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теплотрассыв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подвал здания (герметизация ввода теплотрассы) </w:t>
            </w:r>
          </w:p>
        </w:tc>
      </w:tr>
      <w:tr w:rsidR="001B0C0B" w:rsidRPr="001B0C0B" w:rsidTr="001B0C0B">
        <w:trPr>
          <w:trHeight w:val="1159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lastRenderedPageBreak/>
              <w:t xml:space="preserve">    15. Произвести техническую инвентаризацию внутреннего теплового оборудования на предмет выявления несанкционированных изменений: наличие устрой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ств дл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я отбора сетевой воды, изменение типа отопительного прибора, увеличение поверхности нагрева (присоединение дополнительных секций), изменения в присоединении отопительных приборов, применение трубопроводов с уменьшением проходного сечения. Выполнить мероприятия по устранению выявленных нарушений.</w:t>
            </w:r>
          </w:p>
        </w:tc>
      </w:tr>
      <w:tr w:rsidR="001B0C0B" w:rsidRPr="001B0C0B" w:rsidTr="001B0C0B">
        <w:trPr>
          <w:trHeight w:val="72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16. Обеспечить сохранность пломб теплоснабжающей организации, установленных на тепловых узлах и шайбах на ВВП, установить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ввертыши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сопел элеваторных узлов и шайбы на ВВП в соответствии с расчетом ООО «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» 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17. Обеспечить доступ представителей ООО «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» для контроля и надзора за техническим состоянием объектов теплопотребления.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 xml:space="preserve">    После выполнения всех мероприятий для проверки готовности объекта к отопительному периоду 2026 - 2027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г.г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. необходимо:</w:t>
            </w:r>
          </w:p>
        </w:tc>
      </w:tr>
      <w:tr w:rsidR="001B0C0B" w:rsidRPr="001B0C0B" w:rsidTr="001B0C0B">
        <w:trPr>
          <w:trHeight w:val="960"/>
        </w:trPr>
        <w:tc>
          <w:tcPr>
            <w:tcW w:w="89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1. Подать заявку на вызов представителя ООО "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" для проведения осмотра  теплового пункта с указанием  адреса объекта для согласования  даты проверки, а так же  предоставить  документы, указанные в п.11.5 Приказа № 2234  (в электронном виде  в формате PDF на адрес электронной почты: </w:t>
            </w:r>
            <w:r w:rsidRPr="001B0C0B">
              <w:rPr>
                <w:rFonts w:ascii="Times New Roman" w:eastAsia="Times New Roman" w:hAnsi="Times New Roman" w:cs="Times New Roman"/>
                <w:color w:val="0033CC"/>
                <w:kern w:val="0"/>
                <w:sz w:val="18"/>
                <w:szCs w:val="18"/>
                <w:lang w:bidi="ar-SA"/>
              </w:rPr>
              <w:t>info@etsvu.ru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0033CC"/>
                <w:kern w:val="0"/>
                <w:sz w:val="18"/>
                <w:szCs w:val="18"/>
                <w:lang w:bidi="ar-SA"/>
              </w:rPr>
              <w:t xml:space="preserve"> ;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0033CC"/>
                <w:kern w:val="0"/>
                <w:sz w:val="18"/>
                <w:szCs w:val="18"/>
                <w:lang w:bidi="ar-SA"/>
              </w:rPr>
              <w:t xml:space="preserve"> sb-teplo@etsvu.ru </w:t>
            </w: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):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bookmarkStart w:id="0" w:name="_GoBack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1.    Акты промывки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теплопотребляющей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установки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2.    Акты о проведении наладки режимов потребления тепловой энергии и (или) теплоносителя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3.    Акт проверки (осмотра) запорной арматуры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4.    Организационно-распорядительные документы организации и о назначении ответственных лиц за безопасную эксплуатацию тепловых энергоустановок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5.    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6.    Эксплуатационные инструкции объектов теплоснабжения и (или) производственные инструкции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7.    Паспорта тепловых пунктов 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8.    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9.    Акты или документы, подтверждающие проверку работоспособности автоматических регуляторов</w:t>
            </w:r>
          </w:p>
        </w:tc>
      </w:tr>
      <w:tr w:rsidR="001B0C0B" w:rsidRPr="001B0C0B" w:rsidTr="001B0C0B">
        <w:trPr>
          <w:trHeight w:val="462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10.    Акты осмотра объектов теплоснабжения и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теплопотребляющих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установок на предмет наличия несанкционированных врезок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11.    Акт проверки технической готовности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теплопотребляющей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установки объекта к отопительному периоду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12.    Акт сверки расчетов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13.    Акты периодической проверки узла учета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14.    Акты проверки контрольно-измерительных приборов в тепловом пункте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15.    Акт выполненных работ по подготовке к отопительному периоду теплового контура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16.    План подготовки к отопительному периоду</w:t>
            </w:r>
          </w:p>
        </w:tc>
      </w:tr>
      <w:bookmarkEnd w:id="0"/>
      <w:tr w:rsidR="001B0C0B" w:rsidRPr="001B0C0B" w:rsidTr="001B0C0B">
        <w:trPr>
          <w:trHeight w:val="960"/>
        </w:trPr>
        <w:tc>
          <w:tcPr>
            <w:tcW w:w="89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</w:t>
            </w:r>
          </w:p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Образцы актов размещены на сайте ООО "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": </w:t>
            </w:r>
            <w:r w:rsidRPr="001B0C0B">
              <w:rPr>
                <w:rFonts w:ascii="Times New Roman" w:eastAsia="Times New Roman" w:hAnsi="Times New Roman" w:cs="Times New Roman"/>
                <w:color w:val="0033CC"/>
                <w:kern w:val="0"/>
                <w:sz w:val="18"/>
                <w:szCs w:val="18"/>
                <w:lang w:bidi="ar-SA"/>
              </w:rPr>
              <w:t>http://etsvu.ru/consumers/preparing-for-the-heating-season/ (раздел: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0033CC"/>
                <w:kern w:val="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0033CC"/>
                <w:kern w:val="0"/>
                <w:sz w:val="18"/>
                <w:szCs w:val="18"/>
                <w:lang w:bidi="ar-SA"/>
              </w:rPr>
              <w:t>Потребителям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0033CC"/>
                <w:kern w:val="0"/>
                <w:sz w:val="18"/>
                <w:szCs w:val="18"/>
                <w:lang w:bidi="ar-SA"/>
              </w:rPr>
              <w:t>.П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0033CC"/>
                <w:kern w:val="0"/>
                <w:sz w:val="18"/>
                <w:szCs w:val="18"/>
                <w:lang w:bidi="ar-SA"/>
              </w:rPr>
              <w:t>одготовка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0033CC"/>
                <w:kern w:val="0"/>
                <w:sz w:val="18"/>
                <w:szCs w:val="18"/>
                <w:lang w:bidi="ar-SA"/>
              </w:rPr>
              <w:t xml:space="preserve"> к отопительному периоду)</w:t>
            </w: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. </w:t>
            </w:r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Акты готовятся потребителем в двух экземплярах, один из которых при подписании передается представителю ООО "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".</w:t>
            </w:r>
          </w:p>
        </w:tc>
      </w:tr>
      <w:tr w:rsidR="001B0C0B" w:rsidRPr="001B0C0B" w:rsidTr="001B0C0B">
        <w:trPr>
          <w:trHeight w:val="86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   2. На основании представленных документов составляются оценочные 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листы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и рассчитывается индекс готовности объекта к отопительному периоду. По результатам оценки потребитель получает паспорт обеспечения готовности к отопительному периоду 2026 - 2027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г.г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. в комиссии по проведению оценки обеспечения готовности к отопительному периоду 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( 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администрация Великоустюгского муниципального округа).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 xml:space="preserve">    Разрешение на подачу теплоносителя  на систему отопления  объектов  потребителя выдается при выполнении следующих условий: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1. Отсутствие задолженности за тепловую энергию (в том числе пени за просрочку платежа). Отсутствие задолженности подтверждается актом сверки взаимных расчетов по состоянию на 01 сентября 2026 года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2. Выполнение мероприятий согласно предписания ООО "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" по подготовке к отопительному периоду 2026 - 2027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г.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г</w:t>
            </w:r>
            <w:proofErr w:type="spellEnd"/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.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3. Наличие паспорта оценки готовности объекта к отопительному периоду 2026 - 2027 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г.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г</w:t>
            </w:r>
            <w:proofErr w:type="spellEnd"/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.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4. Подача заявки на имя директор</w:t>
            </w:r>
            <w:proofErr w:type="gram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а ООО</w:t>
            </w:r>
            <w:proofErr w:type="gram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"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" в письменной форме на подключение объекта теплопотребления с указанием даты включения.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По вопросам ремонта теплотехнического оборудования и сетей обращаться по телефонам: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ind w:firstLineChars="1000" w:firstLine="1800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2-56-64 - диспетчер ОДС ООО "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",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ind w:firstLineChars="1000" w:firstLine="1800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2-10-20(105) главный инженер ООО "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"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По вопросам расчетов обращаться по телефонам:</w:t>
            </w:r>
          </w:p>
        </w:tc>
      </w:tr>
      <w:tr w:rsidR="001B0C0B" w:rsidRPr="001B0C0B" w:rsidTr="001B0C0B">
        <w:trPr>
          <w:trHeight w:val="240"/>
        </w:trPr>
        <w:tc>
          <w:tcPr>
            <w:tcW w:w="8980" w:type="dxa"/>
            <w:shd w:val="clear" w:color="auto" w:fill="auto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ind w:firstLineChars="1000" w:firstLine="1800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2-14-75, 2-24-70 бухгалтерия ООО "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"</w:t>
            </w:r>
          </w:p>
        </w:tc>
      </w:tr>
      <w:tr w:rsidR="001B0C0B" w:rsidRPr="001B0C0B" w:rsidTr="001B0C0B">
        <w:trPr>
          <w:trHeight w:val="480"/>
        </w:trPr>
        <w:tc>
          <w:tcPr>
            <w:tcW w:w="8980" w:type="dxa"/>
            <w:shd w:val="clear" w:color="auto" w:fill="auto"/>
            <w:vAlign w:val="center"/>
            <w:hideMark/>
          </w:tcPr>
          <w:p w:rsidR="001B0C0B" w:rsidRPr="001B0C0B" w:rsidRDefault="001B0C0B" w:rsidP="001B0C0B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</w:pPr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По вопросам проверки и приемки объектов</w:t>
            </w:r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 теплопотребления обращаться в ООО "</w:t>
            </w:r>
            <w:proofErr w:type="spellStart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>Электротеплосеть</w:t>
            </w:r>
            <w:proofErr w:type="spellEnd"/>
            <w:r w:rsidRPr="001B0C0B"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bidi="ar-SA"/>
              </w:rPr>
              <w:t xml:space="preserve">", отдел сбыта тепловой энергии по тел. </w:t>
            </w:r>
            <w:r w:rsidRPr="001B0C0B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bidi="ar-SA"/>
              </w:rPr>
              <w:t>2-31-30, 2-10-20 (доб.123)</w:t>
            </w:r>
          </w:p>
        </w:tc>
      </w:tr>
    </w:tbl>
    <w:p w:rsidR="001B0C0B" w:rsidRDefault="001B0C0B" w:rsidP="00A05E54">
      <w:pPr>
        <w:pStyle w:val="2"/>
        <w:tabs>
          <w:tab w:val="left" w:leader="underscore" w:pos="5320"/>
          <w:tab w:val="left" w:leader="underscore" w:pos="5944"/>
        </w:tabs>
        <w:ind w:firstLine="640"/>
        <w:rPr>
          <w:rStyle w:val="CharStyle4"/>
          <w:b/>
          <w:sz w:val="28"/>
          <w:szCs w:val="28"/>
        </w:rPr>
      </w:pPr>
    </w:p>
    <w:p w:rsidR="001B0C0B" w:rsidRPr="00A05E54" w:rsidRDefault="001B0C0B" w:rsidP="00A05E54">
      <w:pPr>
        <w:pStyle w:val="2"/>
        <w:tabs>
          <w:tab w:val="left" w:leader="underscore" w:pos="5320"/>
          <w:tab w:val="left" w:leader="underscore" w:pos="5944"/>
        </w:tabs>
        <w:ind w:firstLine="640"/>
        <w:rPr>
          <w:rStyle w:val="CharStyle4"/>
          <w:b/>
          <w:sz w:val="28"/>
          <w:szCs w:val="28"/>
        </w:rPr>
      </w:pPr>
    </w:p>
    <w:sectPr w:rsidR="001B0C0B" w:rsidRPr="00A05E54" w:rsidSect="00660AF8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2C9D"/>
    <w:multiLevelType w:val="multilevel"/>
    <w:tmpl w:val="7158C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7601" w:hanging="360"/>
      </w:pPr>
    </w:lvl>
    <w:lvl w:ilvl="2">
      <w:start w:val="1"/>
      <w:numFmt w:val="decimal"/>
      <w:lvlText w:val="%3."/>
      <w:lvlJc w:val="left"/>
      <w:pPr>
        <w:ind w:left="7961" w:hanging="360"/>
      </w:pPr>
    </w:lvl>
    <w:lvl w:ilvl="3">
      <w:start w:val="1"/>
      <w:numFmt w:val="decimal"/>
      <w:lvlText w:val="%4."/>
      <w:lvlJc w:val="left"/>
      <w:pPr>
        <w:ind w:left="8321" w:hanging="360"/>
      </w:pPr>
    </w:lvl>
    <w:lvl w:ilvl="4">
      <w:start w:val="1"/>
      <w:numFmt w:val="decimal"/>
      <w:lvlText w:val="%5."/>
      <w:lvlJc w:val="left"/>
      <w:pPr>
        <w:ind w:left="8681" w:hanging="360"/>
      </w:pPr>
    </w:lvl>
    <w:lvl w:ilvl="5">
      <w:start w:val="1"/>
      <w:numFmt w:val="decimal"/>
      <w:lvlText w:val="%6."/>
      <w:lvlJc w:val="left"/>
      <w:pPr>
        <w:ind w:left="9041" w:hanging="360"/>
      </w:pPr>
    </w:lvl>
    <w:lvl w:ilvl="6">
      <w:start w:val="1"/>
      <w:numFmt w:val="decimal"/>
      <w:lvlText w:val="%7."/>
      <w:lvlJc w:val="left"/>
      <w:pPr>
        <w:ind w:left="9401" w:hanging="360"/>
      </w:pPr>
    </w:lvl>
    <w:lvl w:ilvl="7">
      <w:start w:val="1"/>
      <w:numFmt w:val="decimal"/>
      <w:lvlText w:val="%8."/>
      <w:lvlJc w:val="left"/>
      <w:pPr>
        <w:ind w:left="9761" w:hanging="360"/>
      </w:pPr>
    </w:lvl>
    <w:lvl w:ilvl="8">
      <w:start w:val="1"/>
      <w:numFmt w:val="decimal"/>
      <w:lvlText w:val="%9."/>
      <w:lvlJc w:val="left"/>
      <w:pPr>
        <w:ind w:left="10121" w:hanging="360"/>
      </w:pPr>
    </w:lvl>
  </w:abstractNum>
  <w:abstractNum w:abstractNumId="1">
    <w:nsid w:val="0806115F"/>
    <w:multiLevelType w:val="multilevel"/>
    <w:tmpl w:val="48B4AC3C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EDD59BB"/>
    <w:multiLevelType w:val="multilevel"/>
    <w:tmpl w:val="23D277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29C13FF"/>
    <w:multiLevelType w:val="hybridMultilevel"/>
    <w:tmpl w:val="31D87C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607E4"/>
    <w:multiLevelType w:val="multilevel"/>
    <w:tmpl w:val="C32C2960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64BA72EB"/>
    <w:multiLevelType w:val="multilevel"/>
    <w:tmpl w:val="F4C81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107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2A"/>
    <w:rsid w:val="00002FB6"/>
    <w:rsid w:val="000C4C74"/>
    <w:rsid w:val="001071EA"/>
    <w:rsid w:val="00125C2A"/>
    <w:rsid w:val="001B0C0B"/>
    <w:rsid w:val="001D6DB8"/>
    <w:rsid w:val="00282856"/>
    <w:rsid w:val="00290FFB"/>
    <w:rsid w:val="002D4AA8"/>
    <w:rsid w:val="002F11B6"/>
    <w:rsid w:val="00353647"/>
    <w:rsid w:val="003B39D8"/>
    <w:rsid w:val="003C2BBA"/>
    <w:rsid w:val="003D4346"/>
    <w:rsid w:val="00423FF9"/>
    <w:rsid w:val="00487A56"/>
    <w:rsid w:val="004914B2"/>
    <w:rsid w:val="004A081F"/>
    <w:rsid w:val="004B3574"/>
    <w:rsid w:val="00537D1D"/>
    <w:rsid w:val="005648F4"/>
    <w:rsid w:val="005819DB"/>
    <w:rsid w:val="005D43FC"/>
    <w:rsid w:val="005E582F"/>
    <w:rsid w:val="00660AF8"/>
    <w:rsid w:val="006C66D4"/>
    <w:rsid w:val="00721B62"/>
    <w:rsid w:val="007E77D3"/>
    <w:rsid w:val="007F46C3"/>
    <w:rsid w:val="00807862"/>
    <w:rsid w:val="00835AB6"/>
    <w:rsid w:val="008D3D68"/>
    <w:rsid w:val="00980EFC"/>
    <w:rsid w:val="00992AC2"/>
    <w:rsid w:val="00995683"/>
    <w:rsid w:val="00996771"/>
    <w:rsid w:val="00A05E54"/>
    <w:rsid w:val="00A13155"/>
    <w:rsid w:val="00A40658"/>
    <w:rsid w:val="00AB24A9"/>
    <w:rsid w:val="00AE6291"/>
    <w:rsid w:val="00AF6200"/>
    <w:rsid w:val="00B06B66"/>
    <w:rsid w:val="00B36B24"/>
    <w:rsid w:val="00BA7919"/>
    <w:rsid w:val="00BE0991"/>
    <w:rsid w:val="00C0202D"/>
    <w:rsid w:val="00C06BE0"/>
    <w:rsid w:val="00CA221F"/>
    <w:rsid w:val="00CF55B8"/>
    <w:rsid w:val="00D02958"/>
    <w:rsid w:val="00D64470"/>
    <w:rsid w:val="00D849AA"/>
    <w:rsid w:val="00DA01AB"/>
    <w:rsid w:val="00DB5F77"/>
    <w:rsid w:val="00E37620"/>
    <w:rsid w:val="00F22CF0"/>
    <w:rsid w:val="00F27530"/>
    <w:rsid w:val="00F36332"/>
    <w:rsid w:val="00F52AD1"/>
    <w:rsid w:val="00F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7D1D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9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9AA"/>
    <w:rPr>
      <w:rFonts w:ascii="Segoe UI" w:hAnsi="Segoe UI" w:cs="Segoe UI"/>
      <w:sz w:val="18"/>
      <w:szCs w:val="18"/>
    </w:rPr>
  </w:style>
  <w:style w:type="paragraph" w:customStyle="1" w:styleId="2">
    <w:name w:val="Основной текст (2)"/>
    <w:rsid w:val="00537D1D"/>
    <w:pPr>
      <w:widowControl w:val="0"/>
      <w:shd w:val="clear" w:color="auto" w:fill="FFFFFF"/>
      <w:suppressAutoHyphens/>
      <w:autoSpaceDN w:val="0"/>
      <w:spacing w:after="240" w:line="269" w:lineRule="exact"/>
      <w:ind w:hanging="1660"/>
      <w:jc w:val="center"/>
      <w:textAlignment w:val="baseline"/>
    </w:pPr>
    <w:rPr>
      <w:rFonts w:ascii="Times New Roman" w:eastAsia="Times New Roman" w:hAnsi="Times New Roman" w:cs="Times New Roman"/>
      <w:color w:val="000000"/>
      <w:kern w:val="3"/>
      <w:sz w:val="21"/>
      <w:szCs w:val="21"/>
      <w:lang w:eastAsia="ru-RU" w:bidi="ru-RU"/>
    </w:rPr>
  </w:style>
  <w:style w:type="character" w:customStyle="1" w:styleId="CharStyle4">
    <w:name w:val="CharStyle4"/>
    <w:basedOn w:val="a0"/>
    <w:rsid w:val="00537D1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eastAsia="ru-RU" w:bidi="ru-RU"/>
    </w:rPr>
  </w:style>
  <w:style w:type="paragraph" w:customStyle="1" w:styleId="Standard">
    <w:name w:val="Standard"/>
    <w:rsid w:val="00537D1D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</w:style>
  <w:style w:type="table" w:styleId="a5">
    <w:name w:val="Table Grid"/>
    <w:basedOn w:val="a1"/>
    <w:uiPriority w:val="39"/>
    <w:rsid w:val="00537D1D"/>
    <w:pPr>
      <w:widowControl w:val="0"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 (4)"/>
    <w:rsid w:val="00537D1D"/>
    <w:pPr>
      <w:widowControl w:val="0"/>
      <w:shd w:val="clear" w:color="auto" w:fill="FFFFFF"/>
      <w:suppressAutoHyphens/>
      <w:autoSpaceDN w:val="0"/>
      <w:spacing w:after="120" w:line="0" w:lineRule="atLeast"/>
      <w:jc w:val="both"/>
      <w:textAlignment w:val="baseline"/>
    </w:pPr>
    <w:rPr>
      <w:rFonts w:ascii="Times New Roman" w:eastAsia="Times New Roman" w:hAnsi="Times New Roman" w:cs="Times New Roman"/>
      <w:b/>
      <w:bCs/>
      <w:color w:val="000000"/>
      <w:kern w:val="3"/>
      <w:sz w:val="21"/>
      <w:szCs w:val="21"/>
      <w:lang w:eastAsia="ru-RU" w:bidi="ru-RU"/>
    </w:rPr>
  </w:style>
  <w:style w:type="character" w:customStyle="1" w:styleId="CharStyle8">
    <w:name w:val="CharStyle8"/>
    <w:basedOn w:val="a0"/>
    <w:rsid w:val="00537D1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eastAsia="ru-RU" w:bidi="ru-RU"/>
    </w:rPr>
  </w:style>
  <w:style w:type="character" w:customStyle="1" w:styleId="CharStyle9">
    <w:name w:val="CharStyle9"/>
    <w:basedOn w:val="CharStyle4"/>
    <w:rsid w:val="00537D1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eastAsia="ru-RU" w:bidi="ru-RU"/>
    </w:rPr>
  </w:style>
  <w:style w:type="paragraph" w:styleId="a6">
    <w:name w:val="List Paragraph"/>
    <w:basedOn w:val="a"/>
    <w:uiPriority w:val="34"/>
    <w:qFormat/>
    <w:rsid w:val="00C0202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19D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E77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7D1D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9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9AA"/>
    <w:rPr>
      <w:rFonts w:ascii="Segoe UI" w:hAnsi="Segoe UI" w:cs="Segoe UI"/>
      <w:sz w:val="18"/>
      <w:szCs w:val="18"/>
    </w:rPr>
  </w:style>
  <w:style w:type="paragraph" w:customStyle="1" w:styleId="2">
    <w:name w:val="Основной текст (2)"/>
    <w:rsid w:val="00537D1D"/>
    <w:pPr>
      <w:widowControl w:val="0"/>
      <w:shd w:val="clear" w:color="auto" w:fill="FFFFFF"/>
      <w:suppressAutoHyphens/>
      <w:autoSpaceDN w:val="0"/>
      <w:spacing w:after="240" w:line="269" w:lineRule="exact"/>
      <w:ind w:hanging="1660"/>
      <w:jc w:val="center"/>
      <w:textAlignment w:val="baseline"/>
    </w:pPr>
    <w:rPr>
      <w:rFonts w:ascii="Times New Roman" w:eastAsia="Times New Roman" w:hAnsi="Times New Roman" w:cs="Times New Roman"/>
      <w:color w:val="000000"/>
      <w:kern w:val="3"/>
      <w:sz w:val="21"/>
      <w:szCs w:val="21"/>
      <w:lang w:eastAsia="ru-RU" w:bidi="ru-RU"/>
    </w:rPr>
  </w:style>
  <w:style w:type="character" w:customStyle="1" w:styleId="CharStyle4">
    <w:name w:val="CharStyle4"/>
    <w:basedOn w:val="a0"/>
    <w:rsid w:val="00537D1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eastAsia="ru-RU" w:bidi="ru-RU"/>
    </w:rPr>
  </w:style>
  <w:style w:type="paragraph" w:customStyle="1" w:styleId="Standard">
    <w:name w:val="Standard"/>
    <w:rsid w:val="00537D1D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</w:style>
  <w:style w:type="table" w:styleId="a5">
    <w:name w:val="Table Grid"/>
    <w:basedOn w:val="a1"/>
    <w:uiPriority w:val="39"/>
    <w:rsid w:val="00537D1D"/>
    <w:pPr>
      <w:widowControl w:val="0"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 (4)"/>
    <w:rsid w:val="00537D1D"/>
    <w:pPr>
      <w:widowControl w:val="0"/>
      <w:shd w:val="clear" w:color="auto" w:fill="FFFFFF"/>
      <w:suppressAutoHyphens/>
      <w:autoSpaceDN w:val="0"/>
      <w:spacing w:after="120" w:line="0" w:lineRule="atLeast"/>
      <w:jc w:val="both"/>
      <w:textAlignment w:val="baseline"/>
    </w:pPr>
    <w:rPr>
      <w:rFonts w:ascii="Times New Roman" w:eastAsia="Times New Roman" w:hAnsi="Times New Roman" w:cs="Times New Roman"/>
      <w:b/>
      <w:bCs/>
      <w:color w:val="000000"/>
      <w:kern w:val="3"/>
      <w:sz w:val="21"/>
      <w:szCs w:val="21"/>
      <w:lang w:eastAsia="ru-RU" w:bidi="ru-RU"/>
    </w:rPr>
  </w:style>
  <w:style w:type="character" w:customStyle="1" w:styleId="CharStyle8">
    <w:name w:val="CharStyle8"/>
    <w:basedOn w:val="a0"/>
    <w:rsid w:val="00537D1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eastAsia="ru-RU" w:bidi="ru-RU"/>
    </w:rPr>
  </w:style>
  <w:style w:type="character" w:customStyle="1" w:styleId="CharStyle9">
    <w:name w:val="CharStyle9"/>
    <w:basedOn w:val="CharStyle4"/>
    <w:rsid w:val="00537D1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eastAsia="ru-RU" w:bidi="ru-RU"/>
    </w:rPr>
  </w:style>
  <w:style w:type="paragraph" w:styleId="a6">
    <w:name w:val="List Paragraph"/>
    <w:basedOn w:val="a"/>
    <w:uiPriority w:val="34"/>
    <w:qFormat/>
    <w:rsid w:val="00C0202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19D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E77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D378-8F76-4C15-AD0A-F8031ECE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Логиновская И.Ю.</dc:creator>
  <cp:lastModifiedBy>loginovskaya</cp:lastModifiedBy>
  <cp:revision>2</cp:revision>
  <cp:lastPrinted>2025-03-31T05:48:00Z</cp:lastPrinted>
  <dcterms:created xsi:type="dcterms:W3CDTF">2026-04-09T10:55:00Z</dcterms:created>
  <dcterms:modified xsi:type="dcterms:W3CDTF">2026-04-09T10:55:00Z</dcterms:modified>
</cp:coreProperties>
</file>